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09A7" w:rsidR="006D05F7" w:rsidP="2AEC9793" w:rsidRDefault="006D05F7" w14:paraId="5E5787A5" w14:textId="7D67DEFC">
      <w:pPr>
        <w:rPr>
          <w:rFonts w:cstheme="minorHAnsi"/>
          <w:b/>
          <w:bCs/>
          <w:u w:val="single"/>
        </w:rPr>
      </w:pPr>
    </w:p>
    <w:tbl>
      <w:tblPr>
        <w:tblStyle w:val="TableGrid"/>
        <w:tblW w:w="14410" w:type="dxa"/>
        <w:tblLayout w:type="fixed"/>
        <w:tblLook w:val="06A0" w:firstRow="1" w:lastRow="0" w:firstColumn="1" w:lastColumn="0" w:noHBand="1" w:noVBand="1"/>
      </w:tblPr>
      <w:tblGrid>
        <w:gridCol w:w="1605"/>
        <w:gridCol w:w="3919"/>
        <w:gridCol w:w="4536"/>
        <w:gridCol w:w="4350"/>
      </w:tblGrid>
      <w:tr w:rsidRPr="00BF09A7" w:rsidR="00BF09A7" w:rsidTr="6D151F34" w14:paraId="2A49CC35" w14:textId="6D1FF20D">
        <w:trPr>
          <w:trHeight w:val="315"/>
        </w:trPr>
        <w:tc>
          <w:tcPr>
            <w:tcW w:w="1605" w:type="dxa"/>
            <w:shd w:val="clear" w:color="auto" w:fill="FFF2CC" w:themeFill="accent4" w:themeFillTint="33"/>
            <w:tcMar/>
          </w:tcPr>
          <w:p w:rsidRPr="00BF09A7" w:rsidR="00BF09A7" w:rsidP="2AEC9793" w:rsidRDefault="00BF09A7" w14:paraId="7350692A" w14:textId="70AB886B">
            <w:pPr>
              <w:jc w:val="center"/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>Assessments</w:t>
            </w:r>
          </w:p>
        </w:tc>
        <w:tc>
          <w:tcPr>
            <w:tcW w:w="3919" w:type="dxa"/>
            <w:shd w:val="clear" w:color="auto" w:fill="D9E2F3" w:themeFill="accent1" w:themeFillTint="33"/>
            <w:tcMar/>
          </w:tcPr>
          <w:p w:rsidRPr="00BF09A7" w:rsidR="00BF09A7" w:rsidP="2AEC9793" w:rsidRDefault="00BF09A7" w14:paraId="5AA7C0C8" w14:textId="0B145F48">
            <w:pPr>
              <w:jc w:val="center"/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 xml:space="preserve">Year 10 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F09A7" w:rsidR="00BF09A7" w:rsidP="787B5290" w:rsidRDefault="00BF09A7" w14:paraId="1839EC3C" w14:textId="3E6C952F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787B5290" w:rsidR="00BF09A7">
              <w:rPr>
                <w:rFonts w:cs="Calibri" w:cstheme="minorAscii"/>
                <w:b w:val="1"/>
                <w:bCs w:val="1"/>
              </w:rPr>
              <w:t>Year 11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- </w:t>
            </w:r>
            <w:r w:rsidRPr="787B5290" w:rsidR="2A116DEF">
              <w:rPr>
                <w:rFonts w:cs="Calibri" w:cstheme="minorAscii"/>
                <w:b w:val="1"/>
                <w:bCs w:val="1"/>
              </w:rPr>
              <w:t>AM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>A</w:t>
            </w:r>
          </w:p>
        </w:tc>
        <w:tc>
          <w:tcPr>
            <w:tcW w:w="4350" w:type="dxa"/>
            <w:shd w:val="clear" w:color="auto" w:fill="E2EFD9" w:themeFill="accent6" w:themeFillTint="33"/>
            <w:tcMar/>
          </w:tcPr>
          <w:p w:rsidRPr="00BF09A7" w:rsidR="00BF09A7" w:rsidP="6D151F34" w:rsidRDefault="00BF09A7" w14:paraId="7D95D4C1" w14:textId="604CDF15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6D151F34" w:rsidR="00BF09A7">
              <w:rPr>
                <w:rFonts w:cs="Calibri" w:cstheme="minorAscii"/>
                <w:b w:val="1"/>
                <w:bCs w:val="1"/>
              </w:rPr>
              <w:t>Year 11</w:t>
            </w:r>
            <w:r w:rsidRPr="6D151F34" w:rsidR="3F0BDB92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6D151F34" w:rsidR="00BF09A7">
              <w:rPr>
                <w:rFonts w:cs="Calibri" w:cstheme="minorAscii"/>
                <w:b w:val="1"/>
                <w:bCs w:val="1"/>
              </w:rPr>
              <w:t>ALT</w:t>
            </w:r>
            <w:r w:rsidRPr="6D151F34" w:rsidR="3F0BDB92">
              <w:rPr>
                <w:rFonts w:cs="Calibri" w:cstheme="minorAscii"/>
                <w:b w:val="1"/>
                <w:bCs w:val="1"/>
              </w:rPr>
              <w:t xml:space="preserve"> (Additional Learning Time)</w:t>
            </w:r>
          </w:p>
        </w:tc>
      </w:tr>
      <w:tr w:rsidRPr="00BF09A7" w:rsidR="00BF09A7" w:rsidTr="6D151F34" w14:paraId="3725C7FC" w14:textId="780FF003">
        <w:trPr>
          <w:trHeight w:val="1215"/>
        </w:trPr>
        <w:tc>
          <w:tcPr>
            <w:tcW w:w="1605" w:type="dxa"/>
            <w:shd w:val="clear" w:color="auto" w:fill="F2F2F2" w:themeFill="background1" w:themeFillShade="F2"/>
            <w:tcMar/>
          </w:tcPr>
          <w:p w:rsidRPr="00BF09A7" w:rsidR="00BF09A7" w:rsidP="00BF09A7" w:rsidRDefault="00BF09A7" w14:paraId="01F3FF87" w14:textId="77B378E9">
            <w:pPr>
              <w:rPr>
                <w:rFonts w:cstheme="minorHAnsi"/>
              </w:rPr>
            </w:pPr>
            <w:r w:rsidRPr="00BF09A7">
              <w:rPr>
                <w:rFonts w:cstheme="minorHAnsi"/>
              </w:rPr>
              <w:t>Sept - Dec</w:t>
            </w:r>
          </w:p>
        </w:tc>
        <w:tc>
          <w:tcPr>
            <w:tcW w:w="3919" w:type="dxa"/>
            <w:shd w:val="clear" w:color="auto" w:fill="D9E2F3" w:themeFill="accent1" w:themeFillTint="33"/>
            <w:tcMar/>
          </w:tcPr>
          <w:p w:rsidRPr="00BF09A7" w:rsidR="00BF09A7" w:rsidP="00BF09A7" w:rsidRDefault="00BF09A7" w14:paraId="67C30A62" w14:textId="2E1287B9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>Component 1: Human Lifespan Development - Knowledge</w:t>
            </w:r>
          </w:p>
          <w:p w:rsidRPr="00BF09A7" w:rsidR="00BF09A7" w:rsidP="00BF09A7" w:rsidRDefault="00BF09A7" w14:paraId="1D478C2F" w14:textId="3C9D215B">
            <w:pPr>
              <w:rPr>
                <w:rFonts w:cstheme="minorHAnsi"/>
              </w:rPr>
            </w:pPr>
            <w:r w:rsidRPr="00BF09A7">
              <w:rPr>
                <w:rStyle w:val="fontstyle01"/>
                <w:rFonts w:asciiTheme="minorHAnsi" w:hAnsiTheme="minorHAnsi" w:cstheme="minorHAnsi"/>
              </w:rPr>
              <w:t xml:space="preserve">LAA </w:t>
            </w:r>
            <w:r w:rsidRPr="00BF09A7">
              <w:rPr>
                <w:rStyle w:val="fontstyle21"/>
                <w:rFonts w:asciiTheme="minorHAnsi" w:hAnsiTheme="minorHAnsi" w:cstheme="minorHAnsi"/>
                <w:b/>
              </w:rPr>
              <w:t>Understand human growth and development across life stages and the factors</w:t>
            </w:r>
            <w:r w:rsidRPr="00BF09A7">
              <w:rPr>
                <w:rFonts w:cstheme="minorHAnsi"/>
                <w:b/>
                <w:color w:val="000000"/>
              </w:rPr>
              <w:t xml:space="preserve"> </w:t>
            </w:r>
            <w:r w:rsidRPr="00BF09A7">
              <w:rPr>
                <w:rStyle w:val="fontstyle21"/>
                <w:rFonts w:asciiTheme="minorHAnsi" w:hAnsiTheme="minorHAnsi" w:cstheme="minorHAnsi"/>
                <w:b/>
              </w:rPr>
              <w:t>that affect it</w:t>
            </w:r>
          </w:p>
          <w:p w:rsidRPr="00BF09A7" w:rsidR="00BF09A7" w:rsidP="00BF09A7" w:rsidRDefault="00BF09A7" w14:paraId="4CDCEE96" w14:textId="116C0A9A">
            <w:pPr>
              <w:rPr>
                <w:rFonts w:cstheme="minorHAnsi"/>
              </w:rPr>
            </w:pPr>
            <w:r w:rsidRPr="00BF09A7">
              <w:rPr>
                <w:rFonts w:ascii="Wingdings" w:hAnsi="Wingdings" w:eastAsia="Wingdings" w:cs="Wingdings" w:cstheme="minorHAnsi"/>
              </w:rPr>
              <w:t>l</w:t>
            </w:r>
            <w:r w:rsidRPr="00BF09A7">
              <w:rPr>
                <w:rFonts w:cstheme="minorHAnsi"/>
              </w:rPr>
              <w:t xml:space="preserve"> A1: Human growth and development across the life stages</w:t>
            </w:r>
          </w:p>
          <w:p w:rsidRPr="00BF09A7" w:rsidR="00BF09A7" w:rsidP="00BF09A7" w:rsidRDefault="00BF09A7" w14:paraId="1527F9D0" w14:textId="4498FD2C">
            <w:pPr>
              <w:rPr>
                <w:rFonts w:cstheme="minorHAnsi"/>
              </w:rPr>
            </w:pPr>
            <w:r w:rsidRPr="00BF09A7">
              <w:rPr>
                <w:rFonts w:ascii="Wingdings" w:hAnsi="Wingdings" w:eastAsia="Wingdings" w:cs="Wingdings" w:cstheme="minorHAnsi"/>
              </w:rPr>
              <w:t>l</w:t>
            </w:r>
            <w:r w:rsidRPr="00BF09A7">
              <w:rPr>
                <w:rFonts w:cstheme="minorHAnsi"/>
              </w:rPr>
              <w:t xml:space="preserve"> A2: Factors affecting growth and development</w:t>
            </w:r>
          </w:p>
          <w:p w:rsidRPr="00A96005" w:rsidR="00BF09A7" w:rsidP="00BF09A7" w:rsidRDefault="00BF09A7" w14:paraId="3C354E76" w14:textId="62ABCCE8">
            <w:pPr>
              <w:rPr>
                <w:rFonts w:cstheme="minorHAnsi"/>
                <w:b/>
              </w:rPr>
            </w:pPr>
            <w:r w:rsidRPr="00A96005">
              <w:rPr>
                <w:rFonts w:cstheme="minorHAnsi"/>
                <w:b/>
                <w:highlight w:val="yellow"/>
              </w:rPr>
              <w:t>Internally set assessment to track progression and in preparation for Task 1 and Task 2</w:t>
            </w:r>
          </w:p>
          <w:p w:rsidRPr="00BF09A7" w:rsidR="00BF09A7" w:rsidP="00BF09A7" w:rsidRDefault="00BF09A7" w14:paraId="01F8AD66" w14:textId="7B597CC8">
            <w:pPr>
              <w:rPr>
                <w:rFonts w:cstheme="minorHAnsi"/>
                <w:b/>
                <w:bCs/>
                <w:color w:val="000000"/>
              </w:rPr>
            </w:pPr>
            <w:r w:rsidRPr="00BF09A7">
              <w:rPr>
                <w:rFonts w:cstheme="minorHAnsi"/>
                <w:b/>
              </w:rPr>
              <w:t>LAB</w:t>
            </w:r>
            <w:r w:rsidRPr="00BF09A7">
              <w:rPr>
                <w:rFonts w:cstheme="minorHAnsi"/>
              </w:rPr>
              <w:t xml:space="preserve"> </w:t>
            </w:r>
            <w:r w:rsidRPr="00BF09A7">
              <w:rPr>
                <w:rFonts w:cstheme="minorHAnsi"/>
                <w:b/>
                <w:bCs/>
                <w:color w:val="000000"/>
              </w:rPr>
              <w:t>Understand how individuals deal with life events</w:t>
            </w:r>
          </w:p>
          <w:p w:rsidRPr="00BF09A7" w:rsidR="00BF09A7" w:rsidP="00BF09A7" w:rsidRDefault="00BF09A7" w14:paraId="3314FF77" w14:textId="38D61149">
            <w:pPr>
              <w:rPr>
                <w:rFonts w:cstheme="minorHAnsi"/>
              </w:rPr>
            </w:pPr>
            <w:r w:rsidRPr="00BF09A7">
              <w:rPr>
                <w:rFonts w:ascii="Wingdings" w:hAnsi="Wingdings" w:eastAsia="Wingdings" w:cs="Wingdings" w:cstheme="minorHAnsi"/>
              </w:rPr>
              <w:t>l</w:t>
            </w:r>
            <w:r w:rsidRPr="00BF09A7">
              <w:rPr>
                <w:rFonts w:cstheme="minorHAnsi"/>
              </w:rPr>
              <w:t xml:space="preserve"> B1: Different types of life events</w:t>
            </w:r>
          </w:p>
          <w:p w:rsidRPr="00BF09A7" w:rsidR="00BF09A7" w:rsidP="00BF09A7" w:rsidRDefault="00BF09A7" w14:paraId="535B819A" w14:textId="77777777">
            <w:pPr>
              <w:rPr>
                <w:rFonts w:cstheme="minorHAnsi"/>
              </w:rPr>
            </w:pPr>
            <w:r w:rsidRPr="00BF09A7">
              <w:rPr>
                <w:rFonts w:ascii="Wingdings" w:hAnsi="Wingdings" w:eastAsia="Wingdings" w:cs="Wingdings" w:cstheme="minorHAnsi"/>
              </w:rPr>
              <w:t>l</w:t>
            </w:r>
            <w:r w:rsidRPr="00BF09A7">
              <w:rPr>
                <w:rFonts w:cstheme="minorHAnsi"/>
              </w:rPr>
              <w:t xml:space="preserve"> B2: Copying with change caused by life events</w:t>
            </w:r>
          </w:p>
          <w:p w:rsidRPr="00A96005" w:rsidR="00BF09A7" w:rsidP="00BF09A7" w:rsidRDefault="00BF09A7" w14:paraId="6002F438" w14:textId="0BB30E23">
            <w:pPr>
              <w:rPr>
                <w:rFonts w:cstheme="minorHAnsi"/>
                <w:b/>
              </w:rPr>
            </w:pPr>
            <w:r w:rsidRPr="00A96005">
              <w:rPr>
                <w:rFonts w:cstheme="minorHAnsi"/>
                <w:b/>
                <w:highlight w:val="yellow"/>
              </w:rPr>
              <w:t xml:space="preserve">Internally set assessment to track progression and in preparation for Task 3a and Task 3b (part </w:t>
            </w:r>
            <w:proofErr w:type="spellStart"/>
            <w:r w:rsidRPr="00A96005">
              <w:rPr>
                <w:rFonts w:cstheme="minorHAnsi"/>
                <w:b/>
                <w:highlight w:val="yellow"/>
              </w:rPr>
              <w:t>i</w:t>
            </w:r>
            <w:proofErr w:type="spellEnd"/>
            <w:r w:rsidRPr="00A96005">
              <w:rPr>
                <w:rFonts w:cstheme="minorHAnsi"/>
                <w:b/>
                <w:highlight w:val="yellow"/>
              </w:rPr>
              <w:t xml:space="preserve"> and ii)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</w:tcPr>
          <w:p w:rsidRPr="00BF09A7" w:rsidR="00BF09A7" w:rsidP="787B5290" w:rsidRDefault="00BF09A7" w14:paraId="5233EB06" w14:textId="6561AD54">
            <w:pPr>
              <w:rPr>
                <w:rFonts w:cs="Calibri" w:cstheme="minorAscii"/>
              </w:rPr>
            </w:pP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Start 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>component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2: PSA release 2</w:t>
            </w:r>
            <w:r w:rsidRPr="787B5290" w:rsidR="00BF09A7">
              <w:rPr>
                <w:rFonts w:cs="Calibri" w:cstheme="minorAscii"/>
                <w:b w:val="1"/>
                <w:bCs w:val="1"/>
                <w:vertAlign w:val="superscript"/>
              </w:rPr>
              <w:t>nd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Sept – 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>submit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15</w:t>
            </w:r>
            <w:r w:rsidRPr="787B5290" w:rsidR="00BF09A7">
              <w:rPr>
                <w:rFonts w:cs="Calibri" w:cstheme="minorAscii"/>
                <w:b w:val="1"/>
                <w:bCs w:val="1"/>
                <w:vertAlign w:val="superscript"/>
              </w:rPr>
              <w:t>th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 Dec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</w:t>
            </w:r>
            <w:r w:rsidRPr="787B5290" w:rsidR="00BF09A7">
              <w:rPr>
                <w:rFonts w:cs="Calibri" w:cstheme="minorAscii"/>
              </w:rPr>
              <w:t>(</w:t>
            </w:r>
            <w:r w:rsidRPr="787B5290" w:rsidR="72E2FDBA">
              <w:rPr>
                <w:rFonts w:cs="Calibri" w:cstheme="minorAscii"/>
              </w:rPr>
              <w:t>AM</w:t>
            </w:r>
            <w:r w:rsidRPr="787B5290" w:rsidR="2A4EA1F9">
              <w:rPr>
                <w:rFonts w:cs="Calibri" w:cstheme="minorAscii"/>
              </w:rPr>
              <w:t>A</w:t>
            </w:r>
            <w:r w:rsidRPr="787B5290" w:rsidR="00BF09A7">
              <w:rPr>
                <w:rFonts w:cs="Calibri" w:cstheme="minorAscii"/>
              </w:rPr>
              <w:t xml:space="preserve"> – complete October half term)</w:t>
            </w:r>
          </w:p>
          <w:p w:rsidRPr="00BF09A7" w:rsidR="00BF09A7" w:rsidP="787B5290" w:rsidRDefault="00BF09A7" w14:paraId="04BF4D8B" w14:textId="634BB217">
            <w:pPr>
              <w:rPr>
                <w:rFonts w:cs="Calibri" w:cstheme="minorAscii"/>
                <w:b w:val="1"/>
                <w:bCs w:val="1"/>
                <w:highlight w:val="green"/>
              </w:rPr>
            </w:pPr>
            <w:r w:rsidRPr="787B5290" w:rsidR="36B241AD">
              <w:rPr>
                <w:rFonts w:cs="Calibri" w:cstheme="minorAscii"/>
                <w:b w:val="1"/>
                <w:bCs w:val="1"/>
                <w:highlight w:val="green"/>
              </w:rPr>
              <w:t>AM</w:t>
            </w:r>
            <w:r w:rsidRPr="787B5290" w:rsidR="00BF09A7">
              <w:rPr>
                <w:rFonts w:cs="Calibri" w:cstheme="minorAscii"/>
                <w:b w:val="1"/>
                <w:bCs w:val="1"/>
                <w:highlight w:val="green"/>
              </w:rPr>
              <w:t>A: Oct to Dec – Co</w:t>
            </w:r>
            <w:bookmarkStart w:name="_GoBack" w:id="0"/>
            <w:bookmarkEnd w:id="0"/>
            <w:r w:rsidRPr="787B5290" w:rsidR="00BF09A7">
              <w:rPr>
                <w:rFonts w:cs="Calibri" w:cstheme="minorAscii"/>
                <w:b w:val="1"/>
                <w:bCs w:val="1"/>
                <w:highlight w:val="green"/>
              </w:rPr>
              <w:t>mponent 3: Knowledge</w:t>
            </w:r>
          </w:p>
          <w:p w:rsidRPr="00BF09A7" w:rsidR="00BF09A7" w:rsidP="00BF09A7" w:rsidRDefault="00BF09A7" w14:paraId="3660590F" w14:textId="1613DD7F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highlight w:val="yellow"/>
              </w:rPr>
              <w:t>Internally set assessment - Mock paper – Nov (Full paper), Dec (Full paper), Jan (Full paper)</w:t>
            </w:r>
          </w:p>
          <w:p w:rsidRPr="00BF09A7" w:rsidR="00BF09A7" w:rsidP="00BF09A7" w:rsidRDefault="00BF09A7" w14:paraId="64F01DB8" w14:textId="18BF3235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 xml:space="preserve">Component 3: Health and Wellbeing </w:t>
            </w:r>
          </w:p>
          <w:p w:rsidRPr="00BF09A7" w:rsidR="00BF09A7" w:rsidP="00BF09A7" w:rsidRDefault="00BF09A7" w14:paraId="79F5C8BB" w14:textId="3168479D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A Factors that affect health and wellbeing</w:t>
            </w:r>
          </w:p>
          <w:p w:rsidRPr="00BF09A7" w:rsidR="00BF09A7" w:rsidP="00BF09A7" w:rsidRDefault="00BF09A7" w14:paraId="36E23DE6" w14:textId="76197D74">
            <w:pPr>
              <w:rPr>
                <w:rFonts w:cstheme="minorHAnsi"/>
                <w:bCs/>
              </w:rPr>
            </w:pPr>
            <w:r w:rsidRPr="00BF09A7">
              <w:rPr>
                <w:rFonts w:ascii="Wingdings" w:hAnsi="Wingdings" w:eastAsia="Wingdings" w:cs="Wingdings" w:cstheme="minorHAnsi"/>
                <w:bCs/>
              </w:rPr>
              <w:t>l</w:t>
            </w:r>
            <w:r w:rsidRPr="00BF09A7">
              <w:rPr>
                <w:rFonts w:cstheme="minorHAnsi"/>
                <w:bCs/>
              </w:rPr>
              <w:t>A1: Factors affecting health and wellbeing</w:t>
            </w:r>
          </w:p>
          <w:p w:rsidRPr="00BF09A7" w:rsidR="00BF09A7" w:rsidP="00BF09A7" w:rsidRDefault="00BF09A7" w14:paraId="6B4A3424" w14:textId="2C71448D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B Interpreting health indicators</w:t>
            </w:r>
            <w:r w:rsidRPr="00BF09A7">
              <w:rPr>
                <w:rFonts w:cstheme="minorHAnsi"/>
                <w:bCs/>
                <w:color w:val="000000"/>
              </w:rPr>
              <w:br/>
            </w: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B1 Physiological indicators</w:t>
            </w:r>
          </w:p>
          <w:p w:rsidRPr="00BF09A7" w:rsidR="00BF09A7" w:rsidP="00BF09A7" w:rsidRDefault="00BF09A7" w14:paraId="19C691D9" w14:textId="2380CDFF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B2: Lifestyle indicators</w:t>
            </w:r>
          </w:p>
          <w:p w:rsidRPr="00BF09A7" w:rsidR="00BF09A7" w:rsidP="00BF09A7" w:rsidRDefault="00BF09A7" w14:paraId="15D8E12A" w14:textId="4540E932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C Person-centred approach to improving health and wellbeing</w:t>
            </w:r>
            <w:r w:rsidRPr="00BF09A7">
              <w:rPr>
                <w:rFonts w:cstheme="minorHAnsi"/>
                <w:bCs/>
                <w:color w:val="000000"/>
              </w:rPr>
              <w:br/>
            </w: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C1 Person-centred approach</w:t>
            </w:r>
          </w:p>
          <w:p w:rsidRPr="00BF09A7" w:rsidR="00BF09A7" w:rsidP="00BF09A7" w:rsidRDefault="00BF09A7" w14:paraId="2A03292B" w14:textId="1B686AEC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C2 Recommendations and actions to improve health and wellbeing</w:t>
            </w:r>
          </w:p>
          <w:p w:rsidRPr="00BF09A7" w:rsidR="00BF09A7" w:rsidP="00BF09A7" w:rsidRDefault="00BF09A7" w14:paraId="32643AE9" w14:textId="52DD874B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C3: Barriers and obstacles to following recommendations</w:t>
            </w:r>
          </w:p>
          <w:p w:rsidR="00BF09A7" w:rsidP="00BF09A7" w:rsidRDefault="00BF09A7" w14:paraId="73EA1206" w14:textId="77777777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highlight w:val="yellow"/>
              </w:rPr>
              <w:t>Internally set assessment - Mock paper – Nov (Full paper), Dec (Full paper), Jan (Full paper)</w:t>
            </w:r>
          </w:p>
          <w:p w:rsidRPr="00A96005" w:rsidR="00A96005" w:rsidP="74136F32" w:rsidRDefault="00A96005" w14:paraId="76D469C0" w14:textId="08C63F74">
            <w:pPr>
              <w:rPr>
                <w:rFonts w:cs="Calibri" w:cstheme="minorAscii"/>
                <w:highlight w:val="green"/>
              </w:rPr>
            </w:pPr>
            <w:r w:rsidRPr="74136F32" w:rsidR="00A96005">
              <w:rPr>
                <w:rFonts w:cs="Calibri" w:cstheme="minorAscii"/>
                <w:highlight w:val="green"/>
              </w:rPr>
              <w:t xml:space="preserve">Review last year’s data from </w:t>
            </w:r>
            <w:r w:rsidRPr="74136F32" w:rsidR="00A96005">
              <w:rPr>
                <w:rFonts w:cs="Calibri" w:cstheme="minorAscii"/>
                <w:highlight w:val="green"/>
              </w:rPr>
              <w:t>Pearson  -</w:t>
            </w:r>
            <w:r w:rsidRPr="74136F32" w:rsidR="00A96005">
              <w:rPr>
                <w:rFonts w:cs="Calibri" w:cstheme="minorAscii"/>
                <w:highlight w:val="green"/>
              </w:rPr>
              <w:t xml:space="preserve"> review which questions and topics where below the national </w:t>
            </w:r>
            <w:r w:rsidRPr="74136F32" w:rsidR="43FB8E69">
              <w:rPr>
                <w:rFonts w:cs="Calibri" w:cstheme="minorAscii"/>
                <w:highlight w:val="green"/>
              </w:rPr>
              <w:t>average</w:t>
            </w:r>
          </w:p>
        </w:tc>
        <w:tc>
          <w:tcPr>
            <w:tcW w:w="4350" w:type="dxa"/>
            <w:shd w:val="clear" w:color="auto" w:fill="E2EFD9" w:themeFill="accent6" w:themeFillTint="33"/>
            <w:tcMar/>
          </w:tcPr>
          <w:p w:rsidRPr="00BF09A7" w:rsidR="00BF09A7" w:rsidP="787B5290" w:rsidRDefault="00BF09A7" w14:paraId="1A238AF0" w14:textId="0D9916BE">
            <w:pPr>
              <w:rPr>
                <w:rFonts w:cs="Calibri" w:cstheme="minorAscii"/>
              </w:rPr>
            </w:pP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Start 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>component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2: PSA release 2</w:t>
            </w:r>
            <w:r w:rsidRPr="787B5290" w:rsidR="00BF09A7">
              <w:rPr>
                <w:rFonts w:cs="Calibri" w:cstheme="minorAscii"/>
                <w:b w:val="1"/>
                <w:bCs w:val="1"/>
                <w:vertAlign w:val="superscript"/>
              </w:rPr>
              <w:t>nd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Sept – 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>submit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15</w:t>
            </w:r>
            <w:r w:rsidRPr="787B5290" w:rsidR="00BF09A7">
              <w:rPr>
                <w:rFonts w:cs="Calibri" w:cstheme="minorAscii"/>
                <w:b w:val="1"/>
                <w:bCs w:val="1"/>
                <w:vertAlign w:val="superscript"/>
              </w:rPr>
              <w:t>th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 Dec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</w:t>
            </w:r>
            <w:r w:rsidRPr="787B5290" w:rsidR="00BF09A7">
              <w:rPr>
                <w:rFonts w:cs="Calibri" w:cstheme="minorAscii"/>
              </w:rPr>
              <w:t>(</w:t>
            </w:r>
            <w:r w:rsidRPr="787B5290" w:rsidR="593EBA87">
              <w:rPr>
                <w:rFonts w:cs="Calibri" w:cstheme="minorAscii"/>
              </w:rPr>
              <w:t>AM</w:t>
            </w:r>
            <w:r w:rsidRPr="787B5290" w:rsidR="00BF09A7">
              <w:rPr>
                <w:rFonts w:cs="Calibri" w:cstheme="minorAscii"/>
              </w:rPr>
              <w:t>A – complete October half term)</w:t>
            </w:r>
          </w:p>
          <w:p w:rsidRPr="00BF09A7" w:rsidR="00BF09A7" w:rsidP="00BF09A7" w:rsidRDefault="00BF09A7" w14:paraId="628582AA" w14:textId="77777777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 xml:space="preserve">Component 3: Health and Wellbeing </w:t>
            </w:r>
          </w:p>
          <w:p w:rsidRPr="00BF09A7" w:rsidR="00BF09A7" w:rsidP="00BF09A7" w:rsidRDefault="00BF09A7" w14:paraId="36F29444" w14:textId="77777777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A Factors that affect health and wellbeing</w:t>
            </w:r>
          </w:p>
          <w:p w:rsidRPr="00BF09A7" w:rsidR="00BF09A7" w:rsidP="00BF09A7" w:rsidRDefault="00BF09A7" w14:paraId="132ECCBF" w14:textId="77777777">
            <w:pPr>
              <w:rPr>
                <w:rFonts w:cstheme="minorHAnsi"/>
                <w:bCs/>
              </w:rPr>
            </w:pPr>
            <w:r w:rsidRPr="00BF09A7">
              <w:rPr>
                <w:rFonts w:ascii="Wingdings" w:hAnsi="Wingdings" w:eastAsia="Wingdings" w:cs="Wingdings" w:cstheme="minorHAnsi"/>
                <w:bCs/>
              </w:rPr>
              <w:t>l</w:t>
            </w:r>
            <w:r w:rsidRPr="00BF09A7">
              <w:rPr>
                <w:rFonts w:cstheme="minorHAnsi"/>
                <w:bCs/>
              </w:rPr>
              <w:t>A1: Factors affecting health and wellbeing</w:t>
            </w:r>
          </w:p>
          <w:p w:rsidRPr="00BF09A7" w:rsidR="00BF09A7" w:rsidP="00BF09A7" w:rsidRDefault="00BF09A7" w14:paraId="05717F47" w14:textId="77777777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B Interpreting health indicators</w:t>
            </w:r>
            <w:r w:rsidRPr="00BF09A7">
              <w:rPr>
                <w:rFonts w:cstheme="minorHAnsi"/>
                <w:bCs/>
                <w:color w:val="000000"/>
              </w:rPr>
              <w:br/>
            </w: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B1 Physiological indicators</w:t>
            </w:r>
          </w:p>
          <w:p w:rsidRPr="00BF09A7" w:rsidR="00BF09A7" w:rsidP="00BF09A7" w:rsidRDefault="00BF09A7" w14:paraId="6E2C69A2" w14:textId="77777777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B2: Lifestyle indicators</w:t>
            </w:r>
          </w:p>
          <w:p w:rsidRPr="00BF09A7" w:rsidR="00BF09A7" w:rsidP="00BF09A7" w:rsidRDefault="00BF09A7" w14:paraId="1677A5B1" w14:textId="6342F9EF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highlight w:val="yellow"/>
              </w:rPr>
              <w:t xml:space="preserve">Internally set assessment - Mock paper – Nov (Full paper), Dec (Full paper), </w:t>
            </w:r>
          </w:p>
        </w:tc>
      </w:tr>
      <w:tr w:rsidRPr="00BF09A7" w:rsidR="00BF09A7" w:rsidTr="6D151F34" w14:paraId="4018B3BB" w14:textId="071C41DC">
        <w:trPr>
          <w:trHeight w:val="300"/>
        </w:trPr>
        <w:tc>
          <w:tcPr>
            <w:tcW w:w="1605" w:type="dxa"/>
            <w:shd w:val="clear" w:color="auto" w:fill="F2F2F2" w:themeFill="background1" w:themeFillShade="F2"/>
            <w:tcMar/>
            <w:vAlign w:val="center"/>
          </w:tcPr>
          <w:p w:rsidRPr="00BF09A7" w:rsidR="00BF09A7" w:rsidP="002B0F72" w:rsidRDefault="00BF09A7" w14:paraId="536B8C8B" w14:textId="1C2D21A1">
            <w:pPr>
              <w:rPr>
                <w:rFonts w:cstheme="minorHAnsi"/>
              </w:rPr>
            </w:pPr>
            <w:r w:rsidRPr="00BF09A7">
              <w:rPr>
                <w:rFonts w:cstheme="minorHAnsi"/>
              </w:rPr>
              <w:t>Jan - April</w:t>
            </w:r>
          </w:p>
        </w:tc>
        <w:tc>
          <w:tcPr>
            <w:tcW w:w="3919" w:type="dxa"/>
            <w:shd w:val="clear" w:color="auto" w:fill="D9E2F3" w:themeFill="accent1" w:themeFillTint="33"/>
            <w:tcMar/>
            <w:vAlign w:val="center"/>
          </w:tcPr>
          <w:p w:rsidRPr="00BF09A7" w:rsidR="00BF09A7" w:rsidP="787B5290" w:rsidRDefault="00BF09A7" w14:paraId="4AA57BE1" w14:textId="6C584E54">
            <w:pPr>
              <w:rPr>
                <w:rFonts w:cs="Calibri" w:cstheme="minorAscii"/>
                <w:b w:val="1"/>
                <w:bCs w:val="1"/>
              </w:rPr>
            </w:pPr>
            <w:r w:rsidRPr="787B5290" w:rsidR="00BF09A7">
              <w:rPr>
                <w:rFonts w:cs="Calibri" w:cstheme="minorAscii"/>
                <w:b w:val="1"/>
                <w:bCs w:val="1"/>
              </w:rPr>
              <w:t>Start Component 1: PSA Release 6</w:t>
            </w:r>
            <w:r w:rsidRPr="787B5290" w:rsidR="00BF09A7">
              <w:rPr>
                <w:rFonts w:cs="Calibri" w:cstheme="minorAscii"/>
                <w:b w:val="1"/>
                <w:bCs w:val="1"/>
                <w:vertAlign w:val="superscript"/>
              </w:rPr>
              <w:t>th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Jan – Submission deadline 1</w:t>
            </w:r>
            <w:r w:rsidRPr="787B5290" w:rsidR="2708D15E">
              <w:rPr>
                <w:rFonts w:cs="Calibri" w:cstheme="minorAscii"/>
                <w:b w:val="1"/>
                <w:bCs w:val="1"/>
              </w:rPr>
              <w:t>5</w:t>
            </w:r>
            <w:r w:rsidRPr="787B5290" w:rsidR="2708D15E">
              <w:rPr>
                <w:rFonts w:cs="Calibri" w:cstheme="minorAscii"/>
                <w:b w:val="1"/>
                <w:bCs w:val="1"/>
                <w:vertAlign w:val="superscript"/>
              </w:rPr>
              <w:t>th</w:t>
            </w:r>
            <w:r w:rsidRPr="787B5290" w:rsidR="2708D15E">
              <w:rPr>
                <w:rFonts w:cs="Calibri" w:cstheme="minorAscii"/>
                <w:b w:val="1"/>
                <w:bCs w:val="1"/>
              </w:rPr>
              <w:t xml:space="preserve"> 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May </w:t>
            </w:r>
          </w:p>
          <w:p w:rsidRPr="00BF09A7" w:rsidR="00BF09A7" w:rsidP="00574B6F" w:rsidRDefault="00BF09A7" w14:paraId="0157DD32" w14:textId="7EEB859F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</w:rPr>
              <w:t>Results: GCSE results day (available to staff day before)</w:t>
            </w:r>
          </w:p>
        </w:tc>
        <w:tc>
          <w:tcPr>
            <w:tcW w:w="4536" w:type="dxa"/>
            <w:shd w:val="clear" w:color="auto" w:fill="FFF2CC" w:themeFill="accent4" w:themeFillTint="33"/>
            <w:tcMar/>
            <w:vAlign w:val="center"/>
          </w:tcPr>
          <w:p w:rsidRPr="00BF09A7" w:rsidR="00BF09A7" w:rsidP="787B5290" w:rsidRDefault="00BF09A7" w14:paraId="77AF0FF3" w14:textId="14010DA4">
            <w:pPr>
              <w:rPr>
                <w:rFonts w:cs="Calibri" w:cstheme="minorAscii"/>
                <w:b w:val="1"/>
                <w:bCs w:val="1"/>
              </w:rPr>
            </w:pPr>
            <w:r w:rsidRPr="74136F32" w:rsidR="59B0D50F">
              <w:rPr>
                <w:rFonts w:cs="Calibri" w:cstheme="minorAscii"/>
                <w:b w:val="1"/>
                <w:bCs w:val="1"/>
              </w:rPr>
              <w:t>AM</w:t>
            </w:r>
            <w:r w:rsidRPr="74136F32" w:rsidR="00BF09A7">
              <w:rPr>
                <w:rFonts w:cs="Calibri" w:cstheme="minorAscii"/>
                <w:b w:val="1"/>
                <w:bCs w:val="1"/>
              </w:rPr>
              <w:t xml:space="preserve">A: </w:t>
            </w:r>
            <w:r w:rsidRPr="74136F32" w:rsidR="00BF09A7">
              <w:rPr>
                <w:rFonts w:cs="Calibri" w:cstheme="minorAscii"/>
                <w:b w:val="1"/>
                <w:bCs w:val="1"/>
                <w:highlight w:val="yellow"/>
              </w:rPr>
              <w:t>Examination 9</w:t>
            </w:r>
            <w:r w:rsidRPr="74136F32" w:rsidR="00BF09A7">
              <w:rPr>
                <w:rFonts w:cs="Calibri" w:cstheme="minorAscii"/>
                <w:b w:val="1"/>
                <w:bCs w:val="1"/>
                <w:highlight w:val="yellow"/>
                <w:vertAlign w:val="superscript"/>
              </w:rPr>
              <w:t>th</w:t>
            </w:r>
            <w:r w:rsidRPr="74136F32" w:rsidR="00BF09A7">
              <w:rPr>
                <w:rFonts w:cs="Calibri" w:cstheme="minorAscii"/>
                <w:b w:val="1"/>
                <w:bCs w:val="1"/>
                <w:highlight w:val="yellow"/>
              </w:rPr>
              <w:t xml:space="preserve"> Jan 202</w:t>
            </w:r>
            <w:r w:rsidRPr="74136F32" w:rsidR="2983D1A8">
              <w:rPr>
                <w:rFonts w:cs="Calibri" w:cstheme="minorAscii"/>
                <w:b w:val="1"/>
                <w:bCs w:val="1"/>
                <w:highlight w:val="yellow"/>
              </w:rPr>
              <w:t>6</w:t>
            </w:r>
            <w:r w:rsidRPr="74136F32" w:rsidR="00BF09A7">
              <w:rPr>
                <w:rFonts w:cs="Calibri" w:cstheme="minorAscii"/>
                <w:b w:val="1"/>
                <w:bCs w:val="1"/>
              </w:rPr>
              <w:t xml:space="preserve"> – results 21</w:t>
            </w:r>
            <w:r w:rsidRPr="74136F32" w:rsidR="00BF09A7">
              <w:rPr>
                <w:rFonts w:cs="Calibri" w:cstheme="minorAscii"/>
                <w:b w:val="1"/>
                <w:bCs w:val="1"/>
                <w:vertAlign w:val="superscript"/>
              </w:rPr>
              <w:t>st</w:t>
            </w:r>
            <w:r w:rsidRPr="74136F32" w:rsidR="00BF09A7">
              <w:rPr>
                <w:rFonts w:cs="Calibri" w:cstheme="minorAscii"/>
                <w:b w:val="1"/>
                <w:bCs w:val="1"/>
              </w:rPr>
              <w:t xml:space="preserve"> March (available to staff </w:t>
            </w:r>
            <w:r w:rsidRPr="74136F32" w:rsidR="25FD4A25">
              <w:rPr>
                <w:rFonts w:cs="Calibri" w:cstheme="minorAscii"/>
                <w:b w:val="1"/>
                <w:bCs w:val="1"/>
              </w:rPr>
              <w:t xml:space="preserve">on the </w:t>
            </w:r>
            <w:r w:rsidRPr="74136F32" w:rsidR="00BF09A7">
              <w:rPr>
                <w:rFonts w:cs="Calibri" w:cstheme="minorAscii"/>
                <w:b w:val="1"/>
                <w:bCs w:val="1"/>
              </w:rPr>
              <w:t xml:space="preserve">day before) </w:t>
            </w:r>
          </w:p>
        </w:tc>
        <w:tc>
          <w:tcPr>
            <w:tcW w:w="4350" w:type="dxa"/>
            <w:shd w:val="clear" w:color="auto" w:fill="E2EFD9" w:themeFill="accent6" w:themeFillTint="33"/>
            <w:tcMar/>
          </w:tcPr>
          <w:p w:rsidRPr="00BF09A7" w:rsidR="00BF09A7" w:rsidP="00BF09A7" w:rsidRDefault="00BF09A7" w14:paraId="35398B23" w14:textId="77777777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C Person-centred approach to improving health and wellbeing</w:t>
            </w:r>
            <w:r w:rsidRPr="00BF09A7">
              <w:rPr>
                <w:rFonts w:cstheme="minorHAnsi"/>
                <w:bCs/>
                <w:color w:val="000000"/>
              </w:rPr>
              <w:br/>
            </w: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C1 Person-centred approach</w:t>
            </w:r>
          </w:p>
          <w:p w:rsidRPr="00BF09A7" w:rsidR="00BF09A7" w:rsidP="00BF09A7" w:rsidRDefault="00BF09A7" w14:paraId="7B9B9AB3" w14:textId="77777777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C2 Recommendations and actions to improve health and wellbeing</w:t>
            </w:r>
          </w:p>
          <w:p w:rsidRPr="00BF09A7" w:rsidR="00BF09A7" w:rsidP="00BF09A7" w:rsidRDefault="00BF09A7" w14:paraId="1B8AAED4" w14:textId="77777777">
            <w:pPr>
              <w:rPr>
                <w:rFonts w:cstheme="minorHAnsi"/>
                <w:bCs/>
                <w:color w:val="000000"/>
              </w:rPr>
            </w:pPr>
            <w:r w:rsidRPr="00BF09A7">
              <w:rPr>
                <w:rFonts w:ascii="Wingdings" w:hAnsi="Wingdings" w:eastAsia="Wingdings" w:cs="Wingdings" w:cstheme="minorHAnsi"/>
                <w:bCs/>
                <w:color w:val="000000"/>
              </w:rPr>
              <w:t>l</w:t>
            </w:r>
            <w:r w:rsidRPr="00BF09A7">
              <w:rPr>
                <w:rFonts w:cstheme="minorHAnsi"/>
                <w:bCs/>
                <w:color w:val="000000"/>
              </w:rPr>
              <w:t xml:space="preserve"> C3: Barriers and obstacles to following recommendations</w:t>
            </w:r>
          </w:p>
          <w:p w:rsidRPr="00BF09A7" w:rsidR="00BF09A7" w:rsidP="00574B6F" w:rsidRDefault="00BF09A7" w14:paraId="62173E21" w14:textId="0AE319A0">
            <w:pPr>
              <w:rPr>
                <w:rFonts w:cstheme="minorHAnsi"/>
                <w:b/>
                <w:bCs/>
              </w:rPr>
            </w:pPr>
            <w:r w:rsidRPr="00BF09A7">
              <w:rPr>
                <w:rFonts w:cstheme="minorHAnsi"/>
                <w:b/>
                <w:bCs/>
                <w:highlight w:val="yellow"/>
              </w:rPr>
              <w:t xml:space="preserve">Internally set assessment - </w:t>
            </w:r>
            <w:r>
              <w:rPr>
                <w:rFonts w:cstheme="minorHAnsi"/>
                <w:b/>
                <w:bCs/>
                <w:highlight w:val="yellow"/>
              </w:rPr>
              <w:t xml:space="preserve">Mock paper – Jan (Full paper), Feb (Full paper), March </w:t>
            </w:r>
            <w:r w:rsidRPr="00BF09A7">
              <w:rPr>
                <w:rFonts w:cstheme="minorHAnsi"/>
                <w:b/>
                <w:bCs/>
                <w:highlight w:val="yellow"/>
              </w:rPr>
              <w:t>(Full paper)</w:t>
            </w:r>
          </w:p>
        </w:tc>
      </w:tr>
      <w:tr w:rsidRPr="00BF09A7" w:rsidR="00BF09A7" w:rsidTr="6D151F34" w14:paraId="3B7B3899" w14:textId="30B77472">
        <w:trPr>
          <w:trHeight w:val="6255"/>
        </w:trPr>
        <w:tc>
          <w:tcPr>
            <w:tcW w:w="1605" w:type="dxa"/>
            <w:shd w:val="clear" w:color="auto" w:fill="F2F2F2" w:themeFill="background1" w:themeFillShade="F2"/>
            <w:tcMar/>
            <w:vAlign w:val="center"/>
          </w:tcPr>
          <w:p w:rsidRPr="00BF09A7" w:rsidR="00BF09A7" w:rsidP="002B0F72" w:rsidRDefault="00BF09A7" w14:paraId="6F3EC933" w14:textId="08E439BB">
            <w:pPr>
              <w:rPr>
                <w:rFonts w:cstheme="minorHAnsi"/>
              </w:rPr>
            </w:pPr>
            <w:r w:rsidRPr="00BF09A7">
              <w:rPr>
                <w:rFonts w:cstheme="minorHAnsi"/>
              </w:rPr>
              <w:t>April – July</w:t>
            </w:r>
          </w:p>
        </w:tc>
        <w:tc>
          <w:tcPr>
            <w:tcW w:w="3919" w:type="dxa"/>
            <w:shd w:val="clear" w:color="auto" w:fill="auto"/>
            <w:tcMar/>
            <w:vAlign w:val="center"/>
          </w:tcPr>
          <w:p w:rsidRPr="00BF09A7" w:rsidR="00BF09A7" w:rsidP="00B530CC" w:rsidRDefault="00BF09A7" w14:paraId="1196D9E3" w14:textId="362AE1AE">
            <w:pPr>
              <w:shd w:val="clear" w:color="auto" w:fill="FFF2CC" w:themeFill="accent4" w:themeFillTint="33"/>
              <w:rPr>
                <w:rFonts w:cstheme="minorHAnsi"/>
                <w:b/>
              </w:rPr>
            </w:pPr>
            <w:r w:rsidRPr="00BF09A7">
              <w:rPr>
                <w:rFonts w:cstheme="minorHAnsi"/>
                <w:b/>
              </w:rPr>
              <w:t>Component 2: Health and Social care Services and Values - Knowledge</w:t>
            </w:r>
          </w:p>
          <w:p w:rsidRPr="00BF09A7" w:rsidR="00BF09A7" w:rsidP="00B530CC" w:rsidRDefault="00BF09A7" w14:paraId="2F2DA2DD" w14:textId="06CCF812">
            <w:pPr>
              <w:shd w:val="clear" w:color="auto" w:fill="FFF2CC" w:themeFill="accent4" w:themeFillTint="33"/>
              <w:rPr>
                <w:rFonts w:cstheme="minorHAnsi"/>
                <w:b/>
                <w:bCs/>
                <w:color w:val="000000"/>
              </w:rPr>
            </w:pPr>
            <w:r w:rsidRPr="00BF09A7">
              <w:rPr>
                <w:rFonts w:cstheme="minorHAnsi"/>
                <w:b/>
              </w:rPr>
              <w:t xml:space="preserve">LAA: </w:t>
            </w:r>
            <w:r w:rsidRPr="00BF09A7">
              <w:rPr>
                <w:rFonts w:cstheme="minorHAnsi"/>
                <w:b/>
                <w:bCs/>
                <w:color w:val="000000"/>
              </w:rPr>
              <w:t>Understand the different types of health and social</w:t>
            </w:r>
            <w:r w:rsidRPr="00BF09A7">
              <w:rPr>
                <w:rFonts w:cstheme="minorHAnsi"/>
                <w:b/>
                <w:bCs/>
                <w:color w:val="000000"/>
              </w:rPr>
              <w:br/>
            </w:r>
            <w:r w:rsidRPr="00BF09A7">
              <w:rPr>
                <w:rFonts w:cstheme="minorHAnsi"/>
                <w:b/>
                <w:bCs/>
                <w:color w:val="000000"/>
              </w:rPr>
              <w:t>care services and barriers to accessing them</w:t>
            </w:r>
          </w:p>
          <w:p w:rsidRPr="00BF09A7" w:rsidR="00BF09A7" w:rsidP="00B530CC" w:rsidRDefault="00BF09A7" w14:paraId="00558E5A" w14:textId="0E95CB0C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>A1: Healthcare services</w:t>
            </w:r>
          </w:p>
          <w:p w:rsidRPr="00BF09A7" w:rsidR="00BF09A7" w:rsidP="00B530CC" w:rsidRDefault="00BF09A7" w14:paraId="239B4787" w14:textId="66475781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>A2: Social care services</w:t>
            </w:r>
          </w:p>
          <w:p w:rsidRPr="00BF09A7" w:rsidR="00BF09A7" w:rsidP="00B530CC" w:rsidRDefault="00BF09A7" w14:paraId="59F4DCF5" w14:textId="6DBBF119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>A3: Barriers to accessing services</w:t>
            </w:r>
          </w:p>
          <w:p w:rsidRPr="00BF09A7" w:rsidR="00BF09A7" w:rsidP="00B530CC" w:rsidRDefault="00BF09A7" w14:paraId="235AF169" w14:textId="5355C517">
            <w:pPr>
              <w:shd w:val="clear" w:color="auto" w:fill="FFF2CC" w:themeFill="accent4" w:themeFillTint="33"/>
              <w:rPr>
                <w:rFonts w:cstheme="minorHAnsi"/>
              </w:rPr>
            </w:pPr>
            <w:r w:rsidRPr="00BF09A7">
              <w:rPr>
                <w:rFonts w:cstheme="minorHAnsi"/>
                <w:highlight w:val="yellow"/>
              </w:rPr>
              <w:t>Internally set assessment to track progression and in preparation for Task 1, Task 2 and Task 3</w:t>
            </w:r>
          </w:p>
          <w:p w:rsidRPr="00BF09A7" w:rsidR="00BF09A7" w:rsidP="00B530CC" w:rsidRDefault="00BF09A7" w14:paraId="4BF5E627" w14:textId="1C76D28F">
            <w:pPr>
              <w:shd w:val="clear" w:color="auto" w:fill="FFF2CC" w:themeFill="accent4" w:themeFillTint="33"/>
              <w:rPr>
                <w:rFonts w:cstheme="minorHAnsi"/>
                <w:b/>
                <w:bCs/>
                <w:color w:val="000000"/>
              </w:rPr>
            </w:pPr>
            <w:r w:rsidRPr="00BF09A7">
              <w:rPr>
                <w:rFonts w:cstheme="minorHAnsi"/>
                <w:b/>
                <w:bCs/>
                <w:color w:val="000000"/>
              </w:rPr>
              <w:t>LAB: Understand the skills, attributes and values required to give care</w:t>
            </w:r>
          </w:p>
          <w:p w:rsidRPr="00BF09A7" w:rsidR="00BF09A7" w:rsidP="00B530CC" w:rsidRDefault="00BF09A7" w14:paraId="0A1BD03F" w14:textId="72F8D30F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 xml:space="preserve">B1: Skills and attributes in health and social care </w:t>
            </w:r>
          </w:p>
          <w:p w:rsidRPr="00BF09A7" w:rsidR="00BF09A7" w:rsidP="00B530CC" w:rsidRDefault="00BF09A7" w14:paraId="4EC5E3CE" w14:textId="71A89AE8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>B2: Values in health and social care</w:t>
            </w:r>
          </w:p>
          <w:p w:rsidRPr="00BF09A7" w:rsidR="00BF09A7" w:rsidP="00B530CC" w:rsidRDefault="00BF09A7" w14:paraId="3F2DFFBA" w14:textId="6C795A86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 xml:space="preserve">B3: The obstacles individuals requiring care may face </w:t>
            </w:r>
          </w:p>
          <w:p w:rsidRPr="00BF09A7" w:rsidR="00BF09A7" w:rsidP="00B530CC" w:rsidRDefault="00BF09A7" w14:paraId="0692BC8C" w14:textId="11219D69">
            <w:pPr>
              <w:shd w:val="clear" w:color="auto" w:fill="FFF2CC" w:themeFill="accent4" w:themeFillTint="33"/>
              <w:rPr>
                <w:rFonts w:cstheme="minorHAnsi"/>
                <w:bCs/>
                <w:color w:val="000000"/>
              </w:rPr>
            </w:pPr>
            <w:r w:rsidRPr="00BF09A7">
              <w:rPr>
                <w:rFonts w:cstheme="minorHAnsi"/>
                <w:bCs/>
                <w:color w:val="000000"/>
              </w:rPr>
              <w:t>B4: The benefits to individuals of the skills, attributes and values in health and social care practice</w:t>
            </w:r>
          </w:p>
          <w:p w:rsidRPr="00BF09A7" w:rsidR="00BF09A7" w:rsidP="00B530CC" w:rsidRDefault="00BF09A7" w14:paraId="73B72F21" w14:textId="1FD33660">
            <w:pPr>
              <w:shd w:val="clear" w:color="auto" w:fill="FFF2CC" w:themeFill="accent4" w:themeFillTint="33"/>
              <w:rPr>
                <w:rFonts w:cstheme="minorHAnsi"/>
              </w:rPr>
            </w:pPr>
            <w:r w:rsidRPr="00BF09A7">
              <w:rPr>
                <w:rFonts w:cstheme="minorHAnsi"/>
                <w:highlight w:val="yellow"/>
              </w:rPr>
              <w:t>Internally set assessment to track progression and in preparation for Task 4 and Task 5</w:t>
            </w:r>
          </w:p>
        </w:tc>
        <w:tc>
          <w:tcPr>
            <w:tcW w:w="4536" w:type="dxa"/>
            <w:shd w:val="clear" w:color="auto" w:fill="auto"/>
            <w:tcMar/>
            <w:vAlign w:val="center"/>
          </w:tcPr>
          <w:p w:rsidRPr="00BF09A7" w:rsidR="00BF09A7" w:rsidP="00574B6F" w:rsidRDefault="00BF09A7" w14:paraId="1C3C7159" w14:textId="59866595">
            <w:pPr>
              <w:rPr>
                <w:rFonts w:cstheme="minorHAnsi"/>
              </w:rPr>
            </w:pPr>
          </w:p>
        </w:tc>
        <w:tc>
          <w:tcPr>
            <w:tcW w:w="4350" w:type="dxa"/>
            <w:shd w:val="clear" w:color="auto" w:fill="E2EFD9" w:themeFill="accent6" w:themeFillTint="33"/>
            <w:tcMar/>
          </w:tcPr>
          <w:p w:rsidR="00A96005" w:rsidP="00574B6F" w:rsidRDefault="00A96005" w14:paraId="12D3821A" w14:textId="63B9A728">
            <w:pPr>
              <w:rPr>
                <w:rFonts w:cstheme="minorHAnsi"/>
                <w:bCs/>
              </w:rPr>
            </w:pPr>
            <w:r w:rsidRPr="00A96005">
              <w:rPr>
                <w:rFonts w:cstheme="minorHAnsi"/>
                <w:bCs/>
              </w:rPr>
              <w:t>Independent revisions tasks</w:t>
            </w:r>
          </w:p>
          <w:p w:rsidR="00A96005" w:rsidP="00574B6F" w:rsidRDefault="00A96005" w14:paraId="644E92BB" w14:textId="79D2837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Or recap more difficult topics</w:t>
            </w:r>
          </w:p>
          <w:p w:rsidRPr="00A96005" w:rsidR="00A96005" w:rsidP="00574B6F" w:rsidRDefault="00A96005" w14:paraId="1C0AC021" w14:textId="55DA2ABB">
            <w:pPr>
              <w:rPr>
                <w:rFonts w:cstheme="minorHAnsi"/>
                <w:bCs/>
              </w:rPr>
            </w:pPr>
            <w:r w:rsidRPr="00A96005">
              <w:rPr>
                <w:rFonts w:cstheme="minorHAnsi"/>
                <w:bCs/>
                <w:highlight w:val="green"/>
              </w:rPr>
              <w:t>Review last year’s data from Pearson  - review which questions and topics where below the national variance</w:t>
            </w:r>
          </w:p>
          <w:p w:rsidRPr="00BF09A7" w:rsidR="00BF09A7" w:rsidP="787B5290" w:rsidRDefault="00BF09A7" w14:paraId="08FB07F1" w14:textId="0A021803">
            <w:pPr>
              <w:rPr>
                <w:rFonts w:cs="Calibri" w:cstheme="minorAscii"/>
              </w:rPr>
            </w:pPr>
            <w:r w:rsidRPr="787B5290" w:rsidR="00BF09A7">
              <w:rPr>
                <w:rFonts w:cs="Calibri" w:cstheme="minorAscii"/>
                <w:b w:val="1"/>
                <w:bCs w:val="1"/>
                <w:highlight w:val="yellow"/>
              </w:rPr>
              <w:t>Examination 5</w:t>
            </w:r>
            <w:r w:rsidRPr="787B5290" w:rsidR="00BF09A7">
              <w:rPr>
                <w:rFonts w:cs="Calibri" w:cstheme="minorAscii"/>
                <w:b w:val="1"/>
                <w:bCs w:val="1"/>
                <w:highlight w:val="yellow"/>
                <w:vertAlign w:val="superscript"/>
              </w:rPr>
              <w:t>th</w:t>
            </w:r>
            <w:r w:rsidRPr="787B5290" w:rsidR="00BF09A7">
              <w:rPr>
                <w:rFonts w:cs="Calibri" w:cstheme="minorAscii"/>
                <w:b w:val="1"/>
                <w:bCs w:val="1"/>
                <w:highlight w:val="yellow"/>
              </w:rPr>
              <w:t xml:space="preserve"> </w:t>
            </w:r>
            <w:r w:rsidRPr="787B5290" w:rsidR="1718DED1">
              <w:rPr>
                <w:rFonts w:cs="Calibri" w:cstheme="minorAscii"/>
                <w:b w:val="1"/>
                <w:bCs w:val="1"/>
                <w:highlight w:val="yellow"/>
              </w:rPr>
              <w:t>May</w:t>
            </w:r>
            <w:r w:rsidRPr="787B5290" w:rsidR="00BF09A7">
              <w:rPr>
                <w:rFonts w:cs="Calibri" w:cstheme="minorAscii"/>
                <w:b w:val="1"/>
                <w:bCs w:val="1"/>
                <w:highlight w:val="yellow"/>
              </w:rPr>
              <w:t xml:space="preserve"> </w:t>
            </w:r>
            <w:r w:rsidRPr="787B5290" w:rsidR="00BF09A7">
              <w:rPr>
                <w:rFonts w:cs="Calibri" w:cstheme="minorAscii"/>
                <w:b w:val="1"/>
                <w:bCs w:val="1"/>
                <w:highlight w:val="yellow"/>
              </w:rPr>
              <w:t>202</w:t>
            </w:r>
            <w:r w:rsidRPr="787B5290" w:rsidR="6C99CB6A">
              <w:rPr>
                <w:rFonts w:cs="Calibri" w:cstheme="minorAscii"/>
                <w:b w:val="1"/>
                <w:bCs w:val="1"/>
                <w:highlight w:val="yellow"/>
              </w:rPr>
              <w:t>6</w:t>
            </w:r>
            <w:r w:rsidRPr="787B5290" w:rsidR="00BF09A7">
              <w:rPr>
                <w:rFonts w:cs="Calibri" w:cstheme="minorAscii"/>
                <w:b w:val="1"/>
                <w:bCs w:val="1"/>
              </w:rPr>
              <w:t xml:space="preserve"> – results GCSE results day (available to staff day before)</w:t>
            </w:r>
          </w:p>
        </w:tc>
      </w:tr>
    </w:tbl>
    <w:p w:rsidRPr="00BF09A7" w:rsidR="00574B6F" w:rsidP="2AEC9793" w:rsidRDefault="00574B6F" w14:paraId="7A204308" w14:textId="77777777">
      <w:pPr>
        <w:rPr>
          <w:rFonts w:cstheme="minorHAnsi"/>
          <w:b/>
          <w:bCs/>
          <w:highlight w:val="yellow"/>
        </w:rPr>
      </w:pPr>
    </w:p>
    <w:p w:rsidRPr="00BF09A7" w:rsidR="4429037A" w:rsidP="2AEC9793" w:rsidRDefault="4429037A" w14:paraId="40B9D16A" w14:textId="1C04B7AB">
      <w:pPr>
        <w:rPr>
          <w:rFonts w:cstheme="minorHAnsi"/>
          <w:b/>
          <w:bCs/>
        </w:rPr>
      </w:pPr>
      <w:r w:rsidRPr="00BF09A7">
        <w:rPr>
          <w:rFonts w:cstheme="minorHAnsi"/>
          <w:b/>
          <w:bCs/>
          <w:highlight w:val="yellow"/>
        </w:rPr>
        <w:t>*</w:t>
      </w:r>
      <w:r w:rsidRPr="00BF09A7" w:rsidR="00484F41">
        <w:rPr>
          <w:rFonts w:cstheme="minorHAnsi"/>
          <w:b/>
          <w:bCs/>
          <w:highlight w:val="yellow"/>
        </w:rPr>
        <w:t xml:space="preserve">Internally set assignments – </w:t>
      </w:r>
      <w:r w:rsidRPr="00BF09A7" w:rsidR="00B530CC">
        <w:rPr>
          <w:rFonts w:cstheme="minorHAnsi"/>
          <w:b/>
          <w:bCs/>
          <w:highlight w:val="yellow"/>
        </w:rPr>
        <w:t>reflects</w:t>
      </w:r>
      <w:r w:rsidRPr="00BF09A7" w:rsidR="00484F41">
        <w:rPr>
          <w:rFonts w:cstheme="minorHAnsi"/>
          <w:b/>
          <w:bCs/>
          <w:highlight w:val="yellow"/>
        </w:rPr>
        <w:t xml:space="preserve"> </w:t>
      </w:r>
      <w:r w:rsidRPr="00BF09A7" w:rsidR="00B530CC">
        <w:rPr>
          <w:rFonts w:cstheme="minorHAnsi"/>
          <w:b/>
          <w:bCs/>
          <w:highlight w:val="yellow"/>
        </w:rPr>
        <w:t>internal</w:t>
      </w:r>
      <w:r w:rsidRPr="00BF09A7" w:rsidR="00484F41">
        <w:rPr>
          <w:rFonts w:cstheme="minorHAnsi"/>
          <w:b/>
          <w:bCs/>
          <w:highlight w:val="yellow"/>
        </w:rPr>
        <w:t xml:space="preserve"> </w:t>
      </w:r>
      <w:r w:rsidRPr="00E12E14" w:rsidR="00484F41">
        <w:rPr>
          <w:rFonts w:cstheme="minorHAnsi"/>
          <w:b/>
          <w:bCs/>
          <w:highlight w:val="yellow"/>
        </w:rPr>
        <w:t>examination PSA</w:t>
      </w:r>
      <w:r w:rsidRPr="00E12E14" w:rsidR="00E12E14">
        <w:rPr>
          <w:rFonts w:cstheme="minorHAnsi"/>
          <w:b/>
          <w:bCs/>
          <w:highlight w:val="yellow"/>
        </w:rPr>
        <w:t xml:space="preserve"> and Mock papers for exam</w:t>
      </w:r>
    </w:p>
    <w:p w:rsidRPr="00BF09A7" w:rsidR="39D5EDE7" w:rsidP="00530ED9" w:rsidRDefault="39D5EDE7" w14:paraId="291F3104" w14:textId="0A5B7825">
      <w:pPr>
        <w:rPr>
          <w:rFonts w:cstheme="minorHAnsi"/>
        </w:rPr>
      </w:pPr>
    </w:p>
    <w:p w:rsidRPr="00BF09A7" w:rsidR="00530ED9" w:rsidP="00530ED9" w:rsidRDefault="00530ED9" w14:paraId="721CE2D4" w14:textId="77777777">
      <w:pPr>
        <w:rPr>
          <w:rFonts w:cstheme="minorHAnsi"/>
        </w:rPr>
      </w:pPr>
    </w:p>
    <w:sectPr w:rsidRPr="00BF09A7" w:rsidR="00530ED9">
      <w:headerReference w:type="default" r:id="rId10"/>
      <w:pgSz w:w="16838" w:h="11906" w:orient="landscape"/>
      <w:pgMar w:top="1440" w:right="1440" w:bottom="1440" w:left="1440" w:header="720" w:footer="720" w:gutter="0"/>
      <w:cols w:space="720"/>
      <w:docGrid w:linePitch="360"/>
      <w:footerReference w:type="default" r:id="Rce648a120b5949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BA" w:rsidP="000177BA" w:rsidRDefault="000177BA" w14:paraId="2F538C54" w14:textId="77777777">
      <w:pPr>
        <w:spacing w:after="0" w:line="240" w:lineRule="auto"/>
      </w:pPr>
      <w:r>
        <w:separator/>
      </w:r>
    </w:p>
  </w:endnote>
  <w:endnote w:type="continuationSeparator" w:id="0">
    <w:p w:rsidR="000177BA" w:rsidP="000177BA" w:rsidRDefault="000177BA" w14:paraId="5278A8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-Bold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87B5290" w:rsidTr="787B5290" w14:paraId="0A3C1445">
      <w:trPr>
        <w:trHeight w:val="300"/>
      </w:trPr>
      <w:tc>
        <w:tcPr>
          <w:tcW w:w="4650" w:type="dxa"/>
          <w:tcMar/>
        </w:tcPr>
        <w:p w:rsidR="787B5290" w:rsidP="787B5290" w:rsidRDefault="787B5290" w14:paraId="2F55166F" w14:textId="133BF3E5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787B5290" w:rsidP="787B5290" w:rsidRDefault="787B5290" w14:paraId="0ED750EA" w14:textId="600A8E8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787B5290" w:rsidP="787B5290" w:rsidRDefault="787B5290" w14:paraId="57368509" w14:textId="63BA0D81">
          <w:pPr>
            <w:pStyle w:val="Header"/>
            <w:bidi w:val="0"/>
            <w:ind w:right="-115"/>
            <w:jc w:val="right"/>
          </w:pPr>
        </w:p>
      </w:tc>
    </w:tr>
  </w:tbl>
  <w:p w:rsidR="787B5290" w:rsidP="787B5290" w:rsidRDefault="787B5290" w14:paraId="733D659E" w14:textId="5B3A162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BA" w:rsidP="000177BA" w:rsidRDefault="000177BA" w14:paraId="55254FF8" w14:textId="77777777">
      <w:pPr>
        <w:spacing w:after="0" w:line="240" w:lineRule="auto"/>
      </w:pPr>
      <w:r>
        <w:separator/>
      </w:r>
    </w:p>
  </w:footnote>
  <w:footnote w:type="continuationSeparator" w:id="0">
    <w:p w:rsidR="000177BA" w:rsidP="000177BA" w:rsidRDefault="000177BA" w14:paraId="170629F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0177BA" w:rsidR="000177BA" w:rsidP="787B5290" w:rsidRDefault="000177BA" w14:paraId="50E98752" w14:textId="2EA2A2BA">
    <w:pPr>
      <w:jc w:val="center"/>
      <w:rPr>
        <w:rFonts w:cs="Calibri" w:cstheme="minorAscii"/>
        <w:b w:val="1"/>
        <w:bCs w:val="1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EFECE9" wp14:editId="063EA698">
          <wp:simplePos x="0" y="0"/>
          <wp:positionH relativeFrom="margin">
            <wp:align>left</wp:align>
          </wp:positionH>
          <wp:positionV relativeFrom="paragraph">
            <wp:posOffset>-148664</wp:posOffset>
          </wp:positionV>
          <wp:extent cx="1923147" cy="605164"/>
          <wp:effectExtent l="0" t="0" r="1270" b="4445"/>
          <wp:wrapTight wrapText="bothSides">
            <wp:wrapPolygon edited="0">
              <wp:start x="0" y="0"/>
              <wp:lineTo x="0" y="21079"/>
              <wp:lineTo x="21400" y="21079"/>
              <wp:lineTo x="21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71" r="78295" b="71881"/>
                  <a:stretch/>
                </pic:blipFill>
                <pic:spPr bwMode="auto">
                  <a:xfrm>
                    <a:off x="0" y="0"/>
                    <a:ext cx="1923147" cy="605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4136F32" w:rsidR="74136F32">
      <w:rPr>
        <w:rFonts w:cs="Calibri" w:cstheme="minorAscii"/>
        <w:b w:val="1"/>
        <w:bCs w:val="1"/>
        <w:sz w:val="28"/>
        <w:szCs w:val="28"/>
        <w:u w:val="single"/>
      </w:rPr>
      <w:t xml:space="preserve">H&amp;SC </w:t>
    </w:r>
    <w:r w:rsidRPr="74136F32" w:rsidR="74136F32">
      <w:rPr>
        <w:rFonts w:cs="Calibri" w:cstheme="minorAscii"/>
        <w:b w:val="1"/>
        <w:bCs w:val="1"/>
        <w:sz w:val="28"/>
        <w:szCs w:val="28"/>
        <w:u w:val="single"/>
      </w:rPr>
      <w:t>Assessment Framework ALT 202</w:t>
    </w:r>
    <w:r w:rsidRPr="74136F32" w:rsidR="74136F32">
      <w:rPr>
        <w:rFonts w:cs="Calibri" w:cstheme="minorAscii"/>
        <w:b w:val="1"/>
        <w:bCs w:val="1"/>
        <w:sz w:val="28"/>
        <w:szCs w:val="28"/>
        <w:u w:val="single"/>
      </w:rPr>
      <w:t>5</w:t>
    </w:r>
    <w:r w:rsidRPr="74136F32" w:rsidR="74136F32">
      <w:rPr>
        <w:rFonts w:cs="Calibri" w:cstheme="minorAscii"/>
        <w:b w:val="1"/>
        <w:bCs w:val="1"/>
        <w:sz w:val="28"/>
        <w:szCs w:val="28"/>
        <w:u w:val="single"/>
      </w:rPr>
      <w:t>-202</w:t>
    </w:r>
    <w:r w:rsidRPr="74136F32" w:rsidR="74136F32">
      <w:rPr>
        <w:rFonts w:cs="Calibri" w:cstheme="minorAscii"/>
        <w:b w:val="1"/>
        <w:bCs w:val="1"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BF2"/>
    <w:multiLevelType w:val="hybridMultilevel"/>
    <w:tmpl w:val="622CD06E"/>
    <w:lvl w:ilvl="0" w:tplc="4236798C">
      <w:numFmt w:val="bullet"/>
      <w:lvlText w:val="-"/>
      <w:lvlJc w:val="left"/>
      <w:pPr>
        <w:ind w:left="373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0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33" w:hanging="360"/>
      </w:pPr>
      <w:rPr>
        <w:rFonts w:hint="default" w:ascii="Wingdings" w:hAnsi="Wingdings"/>
      </w:rPr>
    </w:lvl>
  </w:abstractNum>
  <w:abstractNum w:abstractNumId="1" w15:restartNumberingAfterBreak="0">
    <w:nsid w:val="09A0AA4C"/>
    <w:multiLevelType w:val="hybridMultilevel"/>
    <w:tmpl w:val="BB7AD9B2"/>
    <w:lvl w:ilvl="0" w:tplc="17301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864C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E9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5A0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F2C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6AC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52B6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A46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7A8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B5FFA2"/>
    <w:multiLevelType w:val="hybridMultilevel"/>
    <w:tmpl w:val="B152078E"/>
    <w:lvl w:ilvl="0" w:tplc="2E2812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A0EE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EC8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509A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0089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3EB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C69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E1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B67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77CE4"/>
    <w:multiLevelType w:val="hybridMultilevel"/>
    <w:tmpl w:val="EC7E3E5C"/>
    <w:lvl w:ilvl="0" w:tplc="BA108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FC6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1AD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D41B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01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ACF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563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69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8D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30B2C6"/>
    <w:multiLevelType w:val="hybridMultilevel"/>
    <w:tmpl w:val="27D45FB8"/>
    <w:lvl w:ilvl="0" w:tplc="829034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41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28B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706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8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4F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780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5AB0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49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0F56F3"/>
    <w:multiLevelType w:val="hybridMultilevel"/>
    <w:tmpl w:val="290C091C"/>
    <w:lvl w:ilvl="0" w:tplc="BF9C6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4249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60E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D41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EEC3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EC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A38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D2B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AF4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5D64A6"/>
    <w:multiLevelType w:val="hybridMultilevel"/>
    <w:tmpl w:val="45A40272"/>
    <w:lvl w:ilvl="0" w:tplc="21C868FE">
      <w:numFmt w:val="bullet"/>
      <w:lvlText w:val="-"/>
      <w:lvlJc w:val="left"/>
      <w:pPr>
        <w:ind w:left="45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7" w15:restartNumberingAfterBreak="0">
    <w:nsid w:val="389B47BF"/>
    <w:multiLevelType w:val="hybridMultilevel"/>
    <w:tmpl w:val="442A53CA"/>
    <w:lvl w:ilvl="0" w:tplc="ED881DA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22AB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6D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184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21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1E67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E69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A43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28B0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C619CB"/>
    <w:multiLevelType w:val="hybridMultilevel"/>
    <w:tmpl w:val="81F86FC4"/>
    <w:lvl w:ilvl="0" w:tplc="335EEA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5EF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709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43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60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1293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DC7F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9452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723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985E44"/>
    <w:multiLevelType w:val="hybridMultilevel"/>
    <w:tmpl w:val="0F081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932424"/>
    <w:multiLevelType w:val="hybridMultilevel"/>
    <w:tmpl w:val="2A2A16C0"/>
    <w:lvl w:ilvl="0" w:tplc="2648E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C4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DA8C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2EA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52D1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2B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98D7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F61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5A13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69F045"/>
    <w:multiLevelType w:val="hybridMultilevel"/>
    <w:tmpl w:val="813C3A4E"/>
    <w:lvl w:ilvl="0" w:tplc="42C86E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655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E2C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74D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A4BF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ECA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1A9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D6F7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88E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A93E7A"/>
    <w:multiLevelType w:val="hybridMultilevel"/>
    <w:tmpl w:val="2206B3E2"/>
    <w:lvl w:ilvl="0" w:tplc="527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3AB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9A51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CE9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4AE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64EF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1CF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8AE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44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BA1441"/>
    <w:multiLevelType w:val="multilevel"/>
    <w:tmpl w:val="6E12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D4A2F87"/>
    <w:multiLevelType w:val="hybridMultilevel"/>
    <w:tmpl w:val="337A4C82"/>
    <w:lvl w:ilvl="0" w:tplc="26D65D0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1333616"/>
    <w:multiLevelType w:val="hybridMultilevel"/>
    <w:tmpl w:val="5F12D374"/>
    <w:lvl w:ilvl="0" w:tplc="3816FA42">
      <w:numFmt w:val="bullet"/>
      <w:lvlText w:val="-"/>
      <w:lvlJc w:val="left"/>
      <w:pPr>
        <w:ind w:left="45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6" w15:restartNumberingAfterBreak="0">
    <w:nsid w:val="61B1174E"/>
    <w:multiLevelType w:val="hybridMultilevel"/>
    <w:tmpl w:val="95FECE92"/>
    <w:lvl w:ilvl="0" w:tplc="08090001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7" w15:restartNumberingAfterBreak="0">
    <w:nsid w:val="6DD84415"/>
    <w:multiLevelType w:val="hybridMultilevel"/>
    <w:tmpl w:val="81C4BF1C"/>
    <w:lvl w:ilvl="0" w:tplc="10A83F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B08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8FB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D40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E404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C06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B20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EA7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78D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62A16D7"/>
    <w:multiLevelType w:val="hybridMultilevel"/>
    <w:tmpl w:val="56BCF61A"/>
    <w:lvl w:ilvl="0" w:tplc="EA6CE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B2F8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A6B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3E8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292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B21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66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869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A43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00414C"/>
    <w:multiLevelType w:val="hybridMultilevel"/>
    <w:tmpl w:val="C0EC9E8A"/>
    <w:lvl w:ilvl="0" w:tplc="B7E45E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C9ACDB"/>
    <w:multiLevelType w:val="hybridMultilevel"/>
    <w:tmpl w:val="7CA40EAA"/>
    <w:lvl w:ilvl="0" w:tplc="FEE2C7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96F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103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1094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9E3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C05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05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8A8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EC5F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E46D9B"/>
    <w:multiLevelType w:val="hybridMultilevel"/>
    <w:tmpl w:val="38EAD29E"/>
    <w:lvl w:ilvl="0" w:tplc="9BBA96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D4F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A2A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EAD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23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A90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B28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BC7E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48F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20"/>
  </w:num>
  <w:num w:numId="7">
    <w:abstractNumId w:val="17"/>
  </w:num>
  <w:num w:numId="8">
    <w:abstractNumId w:val="11"/>
  </w:num>
  <w:num w:numId="9">
    <w:abstractNumId w:val="18"/>
  </w:num>
  <w:num w:numId="10">
    <w:abstractNumId w:val="21"/>
  </w:num>
  <w:num w:numId="11">
    <w:abstractNumId w:val="8"/>
  </w:num>
  <w:num w:numId="12">
    <w:abstractNumId w:val="12"/>
  </w:num>
  <w:num w:numId="13">
    <w:abstractNumId w:val="3"/>
  </w:num>
  <w:num w:numId="14">
    <w:abstractNumId w:val="1"/>
  </w:num>
  <w:num w:numId="15">
    <w:abstractNumId w:val="14"/>
  </w:num>
  <w:num w:numId="16">
    <w:abstractNumId w:val="19"/>
  </w:num>
  <w:num w:numId="17">
    <w:abstractNumId w:val="15"/>
  </w:num>
  <w:num w:numId="18">
    <w:abstractNumId w:val="0"/>
  </w:num>
  <w:num w:numId="19">
    <w:abstractNumId w:val="6"/>
  </w:num>
  <w:num w:numId="20">
    <w:abstractNumId w:val="16"/>
  </w:num>
  <w:num w:numId="21">
    <w:abstractNumId w:val="13"/>
  </w:num>
  <w:num w:numId="2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F6AFD3"/>
    <w:rsid w:val="000177BA"/>
    <w:rsid w:val="00021DA6"/>
    <w:rsid w:val="0004410F"/>
    <w:rsid w:val="001948B6"/>
    <w:rsid w:val="0029215E"/>
    <w:rsid w:val="002AED60"/>
    <w:rsid w:val="002B0F72"/>
    <w:rsid w:val="002D984C"/>
    <w:rsid w:val="00484F41"/>
    <w:rsid w:val="00530ED9"/>
    <w:rsid w:val="005354E9"/>
    <w:rsid w:val="00547FA5"/>
    <w:rsid w:val="00572843"/>
    <w:rsid w:val="00574B6F"/>
    <w:rsid w:val="005D5C0F"/>
    <w:rsid w:val="006975B2"/>
    <w:rsid w:val="006D05F7"/>
    <w:rsid w:val="007A4BC1"/>
    <w:rsid w:val="00931E7A"/>
    <w:rsid w:val="00A96005"/>
    <w:rsid w:val="00B530CC"/>
    <w:rsid w:val="00BD424B"/>
    <w:rsid w:val="00BE1A39"/>
    <w:rsid w:val="00BF09A7"/>
    <w:rsid w:val="00C12E97"/>
    <w:rsid w:val="00C41906"/>
    <w:rsid w:val="00CE6237"/>
    <w:rsid w:val="00D8039D"/>
    <w:rsid w:val="00DD796F"/>
    <w:rsid w:val="00E12E14"/>
    <w:rsid w:val="00F058DF"/>
    <w:rsid w:val="01F57CB5"/>
    <w:rsid w:val="02A3D5E5"/>
    <w:rsid w:val="03280D55"/>
    <w:rsid w:val="0501096F"/>
    <w:rsid w:val="059EB51E"/>
    <w:rsid w:val="05DA60D1"/>
    <w:rsid w:val="05ECDEDC"/>
    <w:rsid w:val="0683BF81"/>
    <w:rsid w:val="07299161"/>
    <w:rsid w:val="0830BCAB"/>
    <w:rsid w:val="0C5C2060"/>
    <w:rsid w:val="0D06394F"/>
    <w:rsid w:val="0EAA8E68"/>
    <w:rsid w:val="0F82864B"/>
    <w:rsid w:val="1054F6ED"/>
    <w:rsid w:val="1055EC01"/>
    <w:rsid w:val="1083E256"/>
    <w:rsid w:val="10F9B20D"/>
    <w:rsid w:val="11E5490A"/>
    <w:rsid w:val="12CDB9C0"/>
    <w:rsid w:val="130C219E"/>
    <w:rsid w:val="13F33514"/>
    <w:rsid w:val="14925945"/>
    <w:rsid w:val="14A83680"/>
    <w:rsid w:val="15C2573B"/>
    <w:rsid w:val="16385043"/>
    <w:rsid w:val="16AC8B23"/>
    <w:rsid w:val="16DBB873"/>
    <w:rsid w:val="1718DED1"/>
    <w:rsid w:val="178D9830"/>
    <w:rsid w:val="188D090F"/>
    <w:rsid w:val="18D3ED88"/>
    <w:rsid w:val="192CFF66"/>
    <w:rsid w:val="19DCF38A"/>
    <w:rsid w:val="1A2F122B"/>
    <w:rsid w:val="1A3C828E"/>
    <w:rsid w:val="1A46528A"/>
    <w:rsid w:val="1B24898F"/>
    <w:rsid w:val="1C28ED9F"/>
    <w:rsid w:val="1C6516C2"/>
    <w:rsid w:val="1DC90A90"/>
    <w:rsid w:val="1E088D42"/>
    <w:rsid w:val="1EBE0F7F"/>
    <w:rsid w:val="1EF09CA7"/>
    <w:rsid w:val="1F84382D"/>
    <w:rsid w:val="1F98AA15"/>
    <w:rsid w:val="1FB1D272"/>
    <w:rsid w:val="21347A76"/>
    <w:rsid w:val="228F8403"/>
    <w:rsid w:val="22DB6A44"/>
    <w:rsid w:val="23057D0B"/>
    <w:rsid w:val="2461502E"/>
    <w:rsid w:val="247D560F"/>
    <w:rsid w:val="24CCDD48"/>
    <w:rsid w:val="25FD4A25"/>
    <w:rsid w:val="2708D15E"/>
    <w:rsid w:val="2795A20C"/>
    <w:rsid w:val="2983D1A8"/>
    <w:rsid w:val="2A116DEF"/>
    <w:rsid w:val="2A4EA1F9"/>
    <w:rsid w:val="2AEC9793"/>
    <w:rsid w:val="2CBF68AE"/>
    <w:rsid w:val="2DAF7B7C"/>
    <w:rsid w:val="3163C69D"/>
    <w:rsid w:val="323E6133"/>
    <w:rsid w:val="32FF96FE"/>
    <w:rsid w:val="33C0B7C1"/>
    <w:rsid w:val="34823F02"/>
    <w:rsid w:val="355CD998"/>
    <w:rsid w:val="357CC234"/>
    <w:rsid w:val="36B241AD"/>
    <w:rsid w:val="36C8BFF8"/>
    <w:rsid w:val="37D30821"/>
    <w:rsid w:val="386BDBE0"/>
    <w:rsid w:val="39D5EDE7"/>
    <w:rsid w:val="3B6656D4"/>
    <w:rsid w:val="3B70FF6D"/>
    <w:rsid w:val="3CA67944"/>
    <w:rsid w:val="3E39221C"/>
    <w:rsid w:val="3F0BDB92"/>
    <w:rsid w:val="3F0DC457"/>
    <w:rsid w:val="3FBFDBC7"/>
    <w:rsid w:val="420B9F9C"/>
    <w:rsid w:val="42434A26"/>
    <w:rsid w:val="43C5F22A"/>
    <w:rsid w:val="43CF6185"/>
    <w:rsid w:val="43FB8E69"/>
    <w:rsid w:val="4429037A"/>
    <w:rsid w:val="443F4730"/>
    <w:rsid w:val="44F91BDD"/>
    <w:rsid w:val="45892E91"/>
    <w:rsid w:val="46DF3917"/>
    <w:rsid w:val="46FD92EC"/>
    <w:rsid w:val="471F0187"/>
    <w:rsid w:val="47470C52"/>
    <w:rsid w:val="48A97CA4"/>
    <w:rsid w:val="4A466E85"/>
    <w:rsid w:val="4A7517D6"/>
    <w:rsid w:val="4EF09BA0"/>
    <w:rsid w:val="5126C2DC"/>
    <w:rsid w:val="5226FFD7"/>
    <w:rsid w:val="53F6AFD3"/>
    <w:rsid w:val="5597D056"/>
    <w:rsid w:val="55EAFFC5"/>
    <w:rsid w:val="571BA43C"/>
    <w:rsid w:val="571D7209"/>
    <w:rsid w:val="57A0E528"/>
    <w:rsid w:val="588D963B"/>
    <w:rsid w:val="593EBA87"/>
    <w:rsid w:val="595DAE9E"/>
    <w:rsid w:val="59B0D50F"/>
    <w:rsid w:val="5A5C924F"/>
    <w:rsid w:val="5C005036"/>
    <w:rsid w:val="5CDAEACC"/>
    <w:rsid w:val="5D9C2097"/>
    <w:rsid w:val="5DEDF796"/>
    <w:rsid w:val="60D3C159"/>
    <w:rsid w:val="6174F10B"/>
    <w:rsid w:val="61D8BF23"/>
    <w:rsid w:val="62E85373"/>
    <w:rsid w:val="6435016F"/>
    <w:rsid w:val="64CCD454"/>
    <w:rsid w:val="674302DD"/>
    <w:rsid w:val="68DED33E"/>
    <w:rsid w:val="697B4A26"/>
    <w:rsid w:val="6AE97DF8"/>
    <w:rsid w:val="6B5B3486"/>
    <w:rsid w:val="6C99CB6A"/>
    <w:rsid w:val="6CD7E639"/>
    <w:rsid w:val="6D151F34"/>
    <w:rsid w:val="6DB24461"/>
    <w:rsid w:val="6DC169F5"/>
    <w:rsid w:val="6E7BA420"/>
    <w:rsid w:val="70D10FE4"/>
    <w:rsid w:val="716765E4"/>
    <w:rsid w:val="7214C512"/>
    <w:rsid w:val="723E52DD"/>
    <w:rsid w:val="724723C9"/>
    <w:rsid w:val="72E2FDBA"/>
    <w:rsid w:val="72FA820D"/>
    <w:rsid w:val="730DB60C"/>
    <w:rsid w:val="734F1543"/>
    <w:rsid w:val="74136F32"/>
    <w:rsid w:val="74E2F81E"/>
    <w:rsid w:val="7637B72A"/>
    <w:rsid w:val="76794757"/>
    <w:rsid w:val="77CAFF70"/>
    <w:rsid w:val="787B5290"/>
    <w:rsid w:val="787CABCD"/>
    <w:rsid w:val="78D0A1E4"/>
    <w:rsid w:val="79B66941"/>
    <w:rsid w:val="7B40EA16"/>
    <w:rsid w:val="7B5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6AFD3"/>
  <w15:chartTrackingRefBased/>
  <w15:docId w15:val="{C6A7A262-01DC-4B48-947A-C8E74BE0DC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ntstyle01" w:customStyle="1">
    <w:name w:val="fontstyle01"/>
    <w:basedOn w:val="DefaultParagraphFont"/>
    <w:rsid w:val="00C12E97"/>
    <w:rPr>
      <w:rFonts w:hint="default" w:ascii="OpenSans-Bold" w:hAnsi="OpenSans-Bold"/>
      <w:b/>
      <w:bCs/>
      <w:i w:val="0"/>
      <w:iCs w:val="0"/>
      <w:color w:val="000000"/>
      <w:sz w:val="22"/>
      <w:szCs w:val="22"/>
    </w:rPr>
  </w:style>
  <w:style w:type="character" w:styleId="fontstyle21" w:customStyle="1">
    <w:name w:val="fontstyle21"/>
    <w:basedOn w:val="DefaultParagraphFont"/>
    <w:rsid w:val="00C12E97"/>
    <w:rPr>
      <w:rFonts w:hint="default" w:ascii="OpenSans" w:hAnsi="OpenSans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7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7BA"/>
  </w:style>
  <w:style w:type="paragraph" w:styleId="Footer">
    <w:name w:val="footer"/>
    <w:basedOn w:val="Normal"/>
    <w:link w:val="FooterChar"/>
    <w:uiPriority w:val="99"/>
    <w:unhideWhenUsed/>
    <w:rsid w:val="000177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4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e648a120b5949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99185-9F94-4233-A5A1-B7540948E47D}"/>
</file>

<file path=customXml/itemProps2.xml><?xml version="1.0" encoding="utf-8"?>
<ds:datastoreItem xmlns:ds="http://schemas.openxmlformats.org/officeDocument/2006/customXml" ds:itemID="{4E680EAE-4D3A-4380-8F9A-37643E33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D50FA-ED63-418B-A60C-F09FCDA72B7E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a66d7ee-120d-40ff-a661-8ed131bddeb6"/>
    <ds:schemaRef ds:uri="9b518678-822a-4885-ac15-d4f5c04091c8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 White - MAT Staff</dc:creator>
  <keywords/>
  <dc:description/>
  <lastModifiedBy>Mrs M Rodrigues - AMA Staff</lastModifiedBy>
  <revision>6</revision>
  <dcterms:created xsi:type="dcterms:W3CDTF">2024-10-16T09:45:00.0000000Z</dcterms:created>
  <dcterms:modified xsi:type="dcterms:W3CDTF">2026-05-03T19:48:11.9978477Z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